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1128" w14:textId="77777777" w:rsidR="00A0533A" w:rsidRDefault="00A0533A" w:rsidP="00A0533A">
      <w:pPr>
        <w:pStyle w:val="Ttulo3"/>
        <w:rPr>
          <w:rFonts w:ascii="Arial" w:hAnsi="Arial" w:cs="Arial"/>
          <w:w w:val="105"/>
          <w:sz w:val="24"/>
          <w:szCs w:val="24"/>
        </w:rPr>
      </w:pPr>
      <w:bookmarkStart w:id="0" w:name="_Toc36226415"/>
      <w:r>
        <w:rPr>
          <w:rFonts w:ascii="Arial" w:hAnsi="Arial" w:cs="Arial"/>
          <w:w w:val="105"/>
          <w:sz w:val="24"/>
          <w:szCs w:val="24"/>
        </w:rPr>
        <w:t xml:space="preserve">PLAN DE CONTINGENCIA </w:t>
      </w:r>
    </w:p>
    <w:p w14:paraId="51C0E279" w14:textId="77777777" w:rsidR="00A0533A" w:rsidRDefault="00A0533A" w:rsidP="00A0533A">
      <w:pPr>
        <w:pStyle w:val="Ttulo3"/>
        <w:rPr>
          <w:rFonts w:ascii="Arial" w:hAnsi="Arial" w:cs="Arial"/>
          <w:w w:val="105"/>
          <w:sz w:val="24"/>
          <w:szCs w:val="24"/>
        </w:rPr>
      </w:pPr>
    </w:p>
    <w:p w14:paraId="2EA19286" w14:textId="4B2B2896" w:rsidR="00A0533A" w:rsidRPr="003F013D" w:rsidRDefault="00A0533A" w:rsidP="00A0533A">
      <w:pPr>
        <w:pStyle w:val="Ttulo3"/>
        <w:rPr>
          <w:rFonts w:ascii="Arial" w:hAnsi="Arial" w:cs="Arial"/>
          <w:w w:val="105"/>
          <w:sz w:val="24"/>
          <w:szCs w:val="24"/>
        </w:rPr>
      </w:pPr>
      <w:bookmarkStart w:id="1" w:name="_GoBack"/>
      <w:r w:rsidRPr="003F013D">
        <w:rPr>
          <w:rFonts w:ascii="Arial" w:hAnsi="Arial" w:cs="Arial"/>
          <w:w w:val="105"/>
          <w:sz w:val="24"/>
          <w:szCs w:val="24"/>
        </w:rPr>
        <w:t xml:space="preserve">Estrategia 3.  </w:t>
      </w:r>
      <w:r w:rsidRPr="003F013D">
        <w:rPr>
          <w:rFonts w:ascii="Arial" w:hAnsi="Arial" w:cs="Arial"/>
          <w:sz w:val="24"/>
          <w:szCs w:val="24"/>
        </w:rPr>
        <w:t>Determinación Ruta de Atención</w:t>
      </w:r>
      <w:bookmarkEnd w:id="0"/>
    </w:p>
    <w:bookmarkEnd w:id="1"/>
    <w:p w14:paraId="077EF168" w14:textId="77777777" w:rsidR="00A0533A" w:rsidRPr="003F013D" w:rsidRDefault="00A0533A" w:rsidP="00A0533A">
      <w:pPr>
        <w:pStyle w:val="Textoindependiente"/>
        <w:spacing w:line="276" w:lineRule="auto"/>
        <w:ind w:right="48"/>
        <w:rPr>
          <w:w w:val="105"/>
          <w:sz w:val="24"/>
          <w:szCs w:val="24"/>
        </w:rPr>
      </w:pPr>
    </w:p>
    <w:p w14:paraId="2BFFC447" w14:textId="77777777" w:rsidR="00A0533A" w:rsidRPr="003F013D" w:rsidRDefault="00A0533A" w:rsidP="00A0533A">
      <w:pPr>
        <w:pStyle w:val="Textoindependiente"/>
        <w:spacing w:line="276" w:lineRule="auto"/>
        <w:ind w:right="48"/>
        <w:jc w:val="both"/>
        <w:rPr>
          <w:sz w:val="24"/>
          <w:szCs w:val="24"/>
        </w:rPr>
      </w:pPr>
      <w:r w:rsidRPr="003F013D">
        <w:rPr>
          <w:w w:val="105"/>
          <w:sz w:val="24"/>
          <w:szCs w:val="24"/>
        </w:rPr>
        <w:t>Con la definición de Caso probable para coronavirus, se definieron 3 maneras de entrada a la ruta de atención por sospecha de coronavirus</w:t>
      </w:r>
    </w:p>
    <w:p w14:paraId="0E1992B1" w14:textId="77777777" w:rsidR="00A0533A" w:rsidRPr="003F013D" w:rsidRDefault="00A0533A" w:rsidP="00A0533A">
      <w:pPr>
        <w:pStyle w:val="Default"/>
        <w:ind w:right="48"/>
        <w:jc w:val="both"/>
      </w:pPr>
    </w:p>
    <w:p w14:paraId="061D3AF0" w14:textId="77777777" w:rsidR="00A0533A" w:rsidRPr="003F013D" w:rsidRDefault="00A0533A" w:rsidP="00A0533A">
      <w:pPr>
        <w:pStyle w:val="Default"/>
        <w:ind w:right="48"/>
        <w:jc w:val="both"/>
      </w:pPr>
      <w:r w:rsidRPr="003F013D">
        <w:t xml:space="preserve">La persona puede ingresar por las siguientes vías: </w:t>
      </w:r>
    </w:p>
    <w:p w14:paraId="2A6ACA3A" w14:textId="77777777" w:rsidR="00A0533A" w:rsidRPr="003F013D" w:rsidRDefault="00A0533A" w:rsidP="00A0533A">
      <w:pPr>
        <w:pStyle w:val="Default"/>
        <w:ind w:right="48"/>
        <w:jc w:val="both"/>
      </w:pPr>
    </w:p>
    <w:p w14:paraId="5DDCE005" w14:textId="77777777" w:rsidR="00A0533A" w:rsidRPr="003F013D" w:rsidRDefault="00A0533A" w:rsidP="00A0533A">
      <w:pPr>
        <w:pStyle w:val="Default"/>
        <w:ind w:right="48"/>
        <w:jc w:val="both"/>
        <w:rPr>
          <w:b/>
        </w:rPr>
      </w:pPr>
      <w:r w:rsidRPr="003F013D">
        <w:rPr>
          <w:b/>
        </w:rPr>
        <w:t xml:space="preserve">1. Remitido desde los puntos de entrada al país (marítimo, terrestre o aéreo): </w:t>
      </w:r>
    </w:p>
    <w:p w14:paraId="7D8B0E8F" w14:textId="77777777" w:rsidR="00A0533A" w:rsidRPr="003F013D" w:rsidRDefault="00A0533A" w:rsidP="00A0533A">
      <w:pPr>
        <w:pStyle w:val="Default"/>
        <w:ind w:right="48"/>
        <w:jc w:val="both"/>
      </w:pPr>
    </w:p>
    <w:p w14:paraId="5ABA6F9F" w14:textId="77777777" w:rsidR="00A0533A" w:rsidRPr="003F013D" w:rsidRDefault="00A0533A" w:rsidP="00A0533A">
      <w:pPr>
        <w:pStyle w:val="Default"/>
        <w:ind w:right="48"/>
        <w:jc w:val="both"/>
        <w:rPr>
          <w:i/>
          <w:iCs/>
        </w:rPr>
      </w:pPr>
      <w:r w:rsidRPr="003F013D">
        <w:t xml:space="preserve">De manera inicial se aplicará lo definido en el </w:t>
      </w:r>
      <w:r w:rsidRPr="003F013D">
        <w:rPr>
          <w:i/>
          <w:iCs/>
        </w:rPr>
        <w:t xml:space="preserve">“Orientaciones a Puntos de Entrada para el tamizaje de viajeros que vienen de zonas con circulación del nuevo coronavirus (2019-nCoV) y activación de planes de contingencia”. </w:t>
      </w:r>
    </w:p>
    <w:p w14:paraId="3D59015A" w14:textId="77777777" w:rsidR="00A0533A" w:rsidRPr="003F013D" w:rsidRDefault="00A0533A" w:rsidP="00A0533A">
      <w:pPr>
        <w:pStyle w:val="Default"/>
        <w:ind w:right="48"/>
        <w:jc w:val="both"/>
      </w:pPr>
    </w:p>
    <w:p w14:paraId="1A95A454" w14:textId="77777777" w:rsidR="00A0533A" w:rsidRPr="003F013D" w:rsidRDefault="00A0533A" w:rsidP="00A0533A">
      <w:pPr>
        <w:pStyle w:val="Default"/>
        <w:ind w:right="48"/>
        <w:jc w:val="both"/>
      </w:pPr>
      <w:r w:rsidRPr="003F013D">
        <w:t xml:space="preserve">Posteriormente, la persona ingresará de acuerdo con los procesos de referencia y contrarreferencia, en ambulancia por el servicio de urgencias y seguirá los procedimientos establecidos para el </w:t>
      </w:r>
      <w:proofErr w:type="spellStart"/>
      <w:r w:rsidRPr="003F013D">
        <w:t>triage</w:t>
      </w:r>
      <w:proofErr w:type="spellEnd"/>
      <w:r w:rsidRPr="003F013D">
        <w:t xml:space="preserve">. </w:t>
      </w:r>
    </w:p>
    <w:p w14:paraId="79CDDAB1" w14:textId="77777777" w:rsidR="00A0533A" w:rsidRPr="003F013D" w:rsidRDefault="00A0533A" w:rsidP="00A0533A">
      <w:pPr>
        <w:pStyle w:val="Default"/>
        <w:ind w:right="48"/>
        <w:jc w:val="both"/>
      </w:pPr>
    </w:p>
    <w:p w14:paraId="694BB0A2" w14:textId="77777777" w:rsidR="00A0533A" w:rsidRPr="003F013D" w:rsidRDefault="00A0533A" w:rsidP="00A0533A">
      <w:pPr>
        <w:pStyle w:val="Default"/>
        <w:ind w:right="48"/>
        <w:jc w:val="both"/>
        <w:rPr>
          <w:b/>
        </w:rPr>
      </w:pPr>
      <w:r w:rsidRPr="003F013D">
        <w:rPr>
          <w:b/>
        </w:rPr>
        <w:t xml:space="preserve">2. Servicio de Urgencias: </w:t>
      </w:r>
    </w:p>
    <w:p w14:paraId="17C42C44" w14:textId="77777777" w:rsidR="00A0533A" w:rsidRPr="003F013D" w:rsidRDefault="00A0533A" w:rsidP="00A0533A">
      <w:pPr>
        <w:pStyle w:val="Default"/>
        <w:ind w:right="48"/>
        <w:jc w:val="both"/>
      </w:pPr>
    </w:p>
    <w:p w14:paraId="5BE2F861" w14:textId="77777777" w:rsidR="00A0533A" w:rsidRPr="003F013D" w:rsidRDefault="00A0533A" w:rsidP="00A0533A">
      <w:pPr>
        <w:pStyle w:val="Default"/>
        <w:ind w:right="48"/>
        <w:jc w:val="both"/>
      </w:pPr>
      <w:r w:rsidRPr="003F013D">
        <w:t xml:space="preserve">En el caso que la persona cumpla con la definición establecida, el encargado del </w:t>
      </w:r>
      <w:proofErr w:type="spellStart"/>
      <w:r w:rsidRPr="003F013D">
        <w:t>triage</w:t>
      </w:r>
      <w:proofErr w:type="spellEnd"/>
      <w:r w:rsidRPr="003F013D">
        <w:t xml:space="preserve"> debe alertar frente a la presencia de un posible caso al jefe de urgencias de turno o quien haga sus veces, con el fin que sea realizado el aislamiento por gotas (mascarilla quirúrgica) y en caso de realizar procedimientos que generen aerosoles (tomas de muestras respiratorias, terapia respiratoria, manipulación de la vía área, entre otras) deben realizar aislamiento en el consultorio con medidas de precaución de vía aérea (máscara de alta eficiencia); así mismo, se deben implementar las medidas de aislamiento de contacto o dirigir al área de aislamiento con esas condiciones. Cada Prestador de Servicios de Salud debe definir dentro de su plan de contingencia la ruta de desplazamiento más segura al área de aislamiento. </w:t>
      </w:r>
    </w:p>
    <w:p w14:paraId="2D5F8C9D" w14:textId="77777777" w:rsidR="00A0533A" w:rsidRPr="003F013D" w:rsidRDefault="00A0533A" w:rsidP="00A0533A">
      <w:pPr>
        <w:pStyle w:val="Default"/>
        <w:ind w:right="48"/>
      </w:pPr>
    </w:p>
    <w:p w14:paraId="45A221AD" w14:textId="77777777" w:rsidR="00A0533A" w:rsidRPr="003F013D" w:rsidRDefault="00A0533A" w:rsidP="00A0533A">
      <w:pPr>
        <w:pStyle w:val="Default"/>
        <w:ind w:right="48"/>
        <w:rPr>
          <w:b/>
        </w:rPr>
      </w:pPr>
      <w:r w:rsidRPr="003F013D">
        <w:rPr>
          <w:b/>
        </w:rPr>
        <w:t xml:space="preserve">3. Consulta externa programada o Consulta prioritaria: </w:t>
      </w:r>
    </w:p>
    <w:p w14:paraId="77F2BDFD" w14:textId="77777777" w:rsidR="00A0533A" w:rsidRPr="003F013D" w:rsidRDefault="00A0533A" w:rsidP="00A0533A">
      <w:pPr>
        <w:pStyle w:val="Default"/>
        <w:ind w:right="48"/>
      </w:pPr>
    </w:p>
    <w:p w14:paraId="366F9270" w14:textId="77777777" w:rsidR="00A0533A" w:rsidRPr="003F013D" w:rsidRDefault="00A0533A" w:rsidP="00A0533A">
      <w:pPr>
        <w:pStyle w:val="Default"/>
        <w:ind w:right="48"/>
        <w:jc w:val="both"/>
      </w:pPr>
      <w:r w:rsidRPr="003F013D">
        <w:t xml:space="preserve">En el caso que la persona cumpla con la definición establecida, se realizará aislamiento respectivo y remisión en el caso que no cuente con las capacidades requeridas para la atención de estos pacientes. </w:t>
      </w:r>
    </w:p>
    <w:p w14:paraId="7151B285" w14:textId="77777777" w:rsidR="00A0533A" w:rsidRPr="003F013D" w:rsidRDefault="00A0533A" w:rsidP="00A0533A">
      <w:pPr>
        <w:pStyle w:val="Default"/>
        <w:ind w:right="48"/>
        <w:jc w:val="both"/>
      </w:pPr>
      <w:r w:rsidRPr="003F013D">
        <w:t xml:space="preserve">El aislamiento que se implemente debe tener en cuenta los mecanismos de transmisión de gotas o por contacto Indirecto y en caso de procedimientos que generen aerosoles, se deben aplicar las medidas de aislamiento de vía aérea (máscara de alta eficiencia). </w:t>
      </w:r>
    </w:p>
    <w:p w14:paraId="663A7E5E" w14:textId="77777777" w:rsidR="00A0533A" w:rsidRPr="003F013D" w:rsidRDefault="00A0533A" w:rsidP="00A0533A">
      <w:pPr>
        <w:spacing w:before="177"/>
        <w:ind w:right="48"/>
        <w:jc w:val="both"/>
        <w:rPr>
          <w:rFonts w:ascii="Arial" w:hAnsi="Arial" w:cs="Arial"/>
          <w:sz w:val="24"/>
          <w:szCs w:val="24"/>
        </w:rPr>
      </w:pPr>
      <w:r w:rsidRPr="003F013D">
        <w:rPr>
          <w:rFonts w:ascii="Arial" w:hAnsi="Arial" w:cs="Arial"/>
          <w:sz w:val="24"/>
          <w:szCs w:val="24"/>
        </w:rPr>
        <w:lastRenderedPageBreak/>
        <w:t xml:space="preserve">Ruta de Persona captada en puertos de entrada a la ciudad sintomática </w:t>
      </w:r>
      <w:r w:rsidRPr="003F013D">
        <w:rPr>
          <w:rFonts w:ascii="Arial" w:hAnsi="Arial" w:cs="Arial"/>
          <w:spacing w:val="-12"/>
          <w:sz w:val="24"/>
          <w:szCs w:val="24"/>
        </w:rPr>
        <w:t xml:space="preserve">o </w:t>
      </w:r>
      <w:r w:rsidRPr="003F013D">
        <w:rPr>
          <w:rFonts w:ascii="Arial" w:hAnsi="Arial" w:cs="Arial"/>
          <w:sz w:val="24"/>
          <w:szCs w:val="24"/>
        </w:rPr>
        <w:t>asintomática</w:t>
      </w:r>
      <w:r w:rsidRPr="003F013D">
        <w:rPr>
          <w:rFonts w:ascii="Arial" w:hAnsi="Arial" w:cs="Arial"/>
          <w:spacing w:val="-5"/>
          <w:sz w:val="24"/>
          <w:szCs w:val="24"/>
        </w:rPr>
        <w:t xml:space="preserve"> </w:t>
      </w:r>
      <w:r w:rsidRPr="003F013D">
        <w:rPr>
          <w:rFonts w:ascii="Arial" w:hAnsi="Arial" w:cs="Arial"/>
          <w:sz w:val="24"/>
          <w:szCs w:val="24"/>
        </w:rPr>
        <w:t>proveniente</w:t>
      </w:r>
      <w:r w:rsidRPr="003F013D">
        <w:rPr>
          <w:rFonts w:ascii="Arial" w:hAnsi="Arial" w:cs="Arial"/>
          <w:spacing w:val="-4"/>
          <w:sz w:val="24"/>
          <w:szCs w:val="24"/>
        </w:rPr>
        <w:t xml:space="preserve"> </w:t>
      </w:r>
      <w:r w:rsidRPr="003F013D">
        <w:rPr>
          <w:rFonts w:ascii="Arial" w:hAnsi="Arial" w:cs="Arial"/>
          <w:sz w:val="24"/>
          <w:szCs w:val="24"/>
        </w:rPr>
        <w:t>de</w:t>
      </w:r>
      <w:r w:rsidRPr="003F013D">
        <w:rPr>
          <w:rFonts w:ascii="Arial" w:hAnsi="Arial" w:cs="Arial"/>
          <w:spacing w:val="-4"/>
          <w:sz w:val="24"/>
          <w:szCs w:val="24"/>
        </w:rPr>
        <w:t xml:space="preserve"> </w:t>
      </w:r>
      <w:r w:rsidRPr="003F013D">
        <w:rPr>
          <w:rFonts w:ascii="Arial" w:hAnsi="Arial" w:cs="Arial"/>
          <w:sz w:val="24"/>
          <w:szCs w:val="24"/>
        </w:rPr>
        <w:t>un</w:t>
      </w:r>
      <w:r w:rsidRPr="003F013D">
        <w:rPr>
          <w:rFonts w:ascii="Arial" w:hAnsi="Arial" w:cs="Arial"/>
          <w:spacing w:val="-4"/>
          <w:sz w:val="24"/>
          <w:szCs w:val="24"/>
        </w:rPr>
        <w:t xml:space="preserve"> </w:t>
      </w:r>
      <w:r w:rsidRPr="003F013D">
        <w:rPr>
          <w:rFonts w:ascii="Arial" w:hAnsi="Arial" w:cs="Arial"/>
          <w:sz w:val="24"/>
          <w:szCs w:val="24"/>
        </w:rPr>
        <w:t>país</w:t>
      </w:r>
      <w:r w:rsidRPr="003F013D">
        <w:rPr>
          <w:rFonts w:ascii="Arial" w:hAnsi="Arial" w:cs="Arial"/>
          <w:spacing w:val="-4"/>
          <w:sz w:val="24"/>
          <w:szCs w:val="24"/>
        </w:rPr>
        <w:t xml:space="preserve"> </w:t>
      </w:r>
      <w:r w:rsidRPr="003F013D">
        <w:rPr>
          <w:rFonts w:ascii="Arial" w:hAnsi="Arial" w:cs="Arial"/>
          <w:sz w:val="24"/>
          <w:szCs w:val="24"/>
        </w:rPr>
        <w:t>de</w:t>
      </w:r>
      <w:r w:rsidRPr="003F013D">
        <w:rPr>
          <w:rFonts w:ascii="Arial" w:hAnsi="Arial" w:cs="Arial"/>
          <w:spacing w:val="-4"/>
          <w:sz w:val="24"/>
          <w:szCs w:val="24"/>
        </w:rPr>
        <w:t xml:space="preserve"> </w:t>
      </w:r>
      <w:r w:rsidRPr="003F013D">
        <w:rPr>
          <w:rFonts w:ascii="Arial" w:hAnsi="Arial" w:cs="Arial"/>
          <w:sz w:val="24"/>
          <w:szCs w:val="24"/>
        </w:rPr>
        <w:t>alto</w:t>
      </w:r>
      <w:r w:rsidRPr="003F013D">
        <w:rPr>
          <w:rFonts w:ascii="Arial" w:hAnsi="Arial" w:cs="Arial"/>
          <w:spacing w:val="-4"/>
          <w:sz w:val="24"/>
          <w:szCs w:val="24"/>
        </w:rPr>
        <w:t xml:space="preserve"> </w:t>
      </w:r>
      <w:r w:rsidRPr="003F013D">
        <w:rPr>
          <w:rFonts w:ascii="Arial" w:hAnsi="Arial" w:cs="Arial"/>
          <w:sz w:val="24"/>
          <w:szCs w:val="24"/>
        </w:rPr>
        <w:t>riesgo</w:t>
      </w:r>
      <w:r w:rsidRPr="003F013D">
        <w:rPr>
          <w:rFonts w:ascii="Arial" w:hAnsi="Arial" w:cs="Arial"/>
          <w:spacing w:val="-5"/>
          <w:sz w:val="24"/>
          <w:szCs w:val="24"/>
        </w:rPr>
        <w:t xml:space="preserve"> </w:t>
      </w:r>
      <w:proofErr w:type="gramStart"/>
      <w:r w:rsidRPr="003F013D">
        <w:rPr>
          <w:rFonts w:ascii="Arial" w:hAnsi="Arial" w:cs="Arial"/>
          <w:sz w:val="24"/>
          <w:szCs w:val="24"/>
        </w:rPr>
        <w:t>de</w:t>
      </w:r>
      <w:r w:rsidRPr="003F013D">
        <w:rPr>
          <w:rFonts w:ascii="Arial" w:hAnsi="Arial" w:cs="Arial"/>
          <w:spacing w:val="-4"/>
          <w:sz w:val="24"/>
          <w:szCs w:val="24"/>
        </w:rPr>
        <w:t xml:space="preserve"> </w:t>
      </w:r>
      <w:r w:rsidRPr="003F013D">
        <w:rPr>
          <w:rFonts w:ascii="Arial" w:hAnsi="Arial" w:cs="Arial"/>
          <w:sz w:val="24"/>
          <w:szCs w:val="24"/>
        </w:rPr>
        <w:t>acuerdo</w:t>
      </w:r>
      <w:r w:rsidRPr="003F013D">
        <w:rPr>
          <w:rFonts w:ascii="Arial" w:hAnsi="Arial" w:cs="Arial"/>
          <w:spacing w:val="-4"/>
          <w:sz w:val="24"/>
          <w:szCs w:val="24"/>
        </w:rPr>
        <w:t xml:space="preserve"> </w:t>
      </w:r>
      <w:r w:rsidRPr="003F013D">
        <w:rPr>
          <w:rFonts w:ascii="Arial" w:hAnsi="Arial" w:cs="Arial"/>
          <w:sz w:val="24"/>
          <w:szCs w:val="24"/>
        </w:rPr>
        <w:t>al</w:t>
      </w:r>
      <w:proofErr w:type="gramEnd"/>
      <w:r w:rsidRPr="003F013D">
        <w:rPr>
          <w:rFonts w:ascii="Arial" w:hAnsi="Arial" w:cs="Arial"/>
          <w:spacing w:val="-4"/>
          <w:sz w:val="24"/>
          <w:szCs w:val="24"/>
        </w:rPr>
        <w:t xml:space="preserve"> </w:t>
      </w:r>
      <w:r w:rsidRPr="003F013D">
        <w:rPr>
          <w:rFonts w:ascii="Arial" w:hAnsi="Arial" w:cs="Arial"/>
          <w:sz w:val="24"/>
          <w:szCs w:val="24"/>
        </w:rPr>
        <w:t>control</w:t>
      </w:r>
      <w:r w:rsidRPr="003F013D">
        <w:rPr>
          <w:rFonts w:ascii="Arial" w:hAnsi="Arial" w:cs="Arial"/>
          <w:spacing w:val="-4"/>
          <w:sz w:val="24"/>
          <w:szCs w:val="24"/>
        </w:rPr>
        <w:t xml:space="preserve"> </w:t>
      </w:r>
      <w:r w:rsidRPr="003F013D">
        <w:rPr>
          <w:rFonts w:ascii="Arial" w:hAnsi="Arial" w:cs="Arial"/>
          <w:sz w:val="24"/>
          <w:szCs w:val="24"/>
        </w:rPr>
        <w:t>migratorio, definido por el Ministerio de salud y Protección</w:t>
      </w:r>
      <w:r w:rsidRPr="003F013D">
        <w:rPr>
          <w:rFonts w:ascii="Arial" w:hAnsi="Arial" w:cs="Arial"/>
          <w:spacing w:val="-2"/>
          <w:sz w:val="24"/>
          <w:szCs w:val="24"/>
        </w:rPr>
        <w:t xml:space="preserve"> </w:t>
      </w:r>
      <w:r w:rsidRPr="003F013D">
        <w:rPr>
          <w:rFonts w:ascii="Arial" w:hAnsi="Arial" w:cs="Arial"/>
          <w:sz w:val="24"/>
          <w:szCs w:val="24"/>
        </w:rPr>
        <w:t>Social.</w:t>
      </w:r>
    </w:p>
    <w:p w14:paraId="6D0EC545" w14:textId="77777777" w:rsidR="00A0533A" w:rsidRPr="003F013D" w:rsidRDefault="00A0533A" w:rsidP="00A0533A">
      <w:pPr>
        <w:spacing w:before="177"/>
        <w:ind w:left="101" w:right="48"/>
        <w:jc w:val="both"/>
        <w:rPr>
          <w:rFonts w:ascii="Arial" w:hAnsi="Arial" w:cs="Arial"/>
          <w:sz w:val="24"/>
          <w:szCs w:val="24"/>
        </w:rPr>
      </w:pPr>
    </w:p>
    <w:p w14:paraId="6AB2E232" w14:textId="43F631C6" w:rsidR="00A0533A" w:rsidRPr="003F013D" w:rsidRDefault="00A0533A" w:rsidP="00A0533A">
      <w:pPr>
        <w:spacing w:before="177"/>
        <w:ind w:left="101" w:right="48"/>
        <w:jc w:val="both"/>
        <w:rPr>
          <w:rFonts w:ascii="Arial" w:hAnsi="Arial" w:cs="Arial"/>
          <w:sz w:val="24"/>
          <w:szCs w:val="24"/>
        </w:rPr>
      </w:pPr>
      <w:r w:rsidRPr="003F013D">
        <w:rPr>
          <w:rFonts w:ascii="Arial" w:hAnsi="Arial" w:cs="Arial"/>
          <w:noProof/>
          <w:sz w:val="24"/>
          <w:szCs w:val="24"/>
        </w:rPr>
        <w:drawing>
          <wp:inline distT="0" distB="0" distL="0" distR="0" wp14:anchorId="4E4DDB2C" wp14:editId="03FAB4C9">
            <wp:extent cx="5612130" cy="25996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2599690"/>
                    </a:xfrm>
                    <a:prstGeom prst="rect">
                      <a:avLst/>
                    </a:prstGeom>
                    <a:noFill/>
                    <a:ln>
                      <a:noFill/>
                    </a:ln>
                  </pic:spPr>
                </pic:pic>
              </a:graphicData>
            </a:graphic>
          </wp:inline>
        </w:drawing>
      </w:r>
    </w:p>
    <w:p w14:paraId="6B9C9B5C" w14:textId="77777777" w:rsidR="00A0533A" w:rsidRPr="003F013D" w:rsidRDefault="00A0533A" w:rsidP="00A0533A">
      <w:pPr>
        <w:pStyle w:val="Textoindependiente"/>
        <w:ind w:right="48"/>
        <w:rPr>
          <w:sz w:val="24"/>
          <w:szCs w:val="24"/>
        </w:rPr>
      </w:pPr>
    </w:p>
    <w:p w14:paraId="72011AA5" w14:textId="77777777" w:rsidR="00A0533A" w:rsidRPr="003F013D" w:rsidRDefault="00A0533A" w:rsidP="00A0533A">
      <w:pPr>
        <w:pStyle w:val="Textoindependiente"/>
        <w:ind w:right="48"/>
        <w:rPr>
          <w:b/>
          <w:sz w:val="24"/>
          <w:szCs w:val="24"/>
        </w:rPr>
      </w:pPr>
    </w:p>
    <w:p w14:paraId="2F682075" w14:textId="77777777" w:rsidR="00A0533A" w:rsidRPr="003F013D" w:rsidRDefault="00A0533A" w:rsidP="00A0533A">
      <w:pPr>
        <w:pStyle w:val="Textoindependiente"/>
        <w:ind w:right="48"/>
        <w:rPr>
          <w:b/>
          <w:sz w:val="24"/>
          <w:szCs w:val="24"/>
        </w:rPr>
      </w:pPr>
      <w:r>
        <w:rPr>
          <w:b/>
          <w:sz w:val="24"/>
          <w:szCs w:val="24"/>
        </w:rPr>
        <w:t>D</w:t>
      </w:r>
      <w:r w:rsidRPr="003F013D">
        <w:rPr>
          <w:b/>
          <w:sz w:val="24"/>
          <w:szCs w:val="24"/>
        </w:rPr>
        <w:t>efinición IPS asignada por cada puerto</w:t>
      </w:r>
      <w:r>
        <w:rPr>
          <w:b/>
          <w:sz w:val="24"/>
          <w:szCs w:val="24"/>
        </w:rPr>
        <w:t>.</w:t>
      </w:r>
    </w:p>
    <w:p w14:paraId="48B1ED5D" w14:textId="77777777" w:rsidR="00A0533A" w:rsidRPr="003F013D" w:rsidRDefault="00A0533A" w:rsidP="00A0533A">
      <w:pPr>
        <w:spacing w:line="237" w:lineRule="auto"/>
        <w:ind w:right="48"/>
        <w:jc w:val="both"/>
        <w:rPr>
          <w:rFonts w:ascii="Arial" w:hAnsi="Arial" w:cs="Arial"/>
          <w:sz w:val="24"/>
          <w:szCs w:val="24"/>
        </w:rPr>
      </w:pPr>
    </w:p>
    <w:p w14:paraId="6CEBDFD9"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sz w:val="24"/>
          <w:szCs w:val="24"/>
        </w:rPr>
        <w:t>Para la población asegurada según red de prestadores definida por cada aseguradora</w:t>
      </w:r>
    </w:p>
    <w:p w14:paraId="2FF78A95" w14:textId="77777777" w:rsidR="00A0533A" w:rsidRPr="003F013D" w:rsidRDefault="00A0533A" w:rsidP="00A0533A">
      <w:pPr>
        <w:spacing w:line="237" w:lineRule="auto"/>
        <w:ind w:right="48"/>
        <w:jc w:val="both"/>
        <w:rPr>
          <w:rFonts w:ascii="Arial" w:hAnsi="Arial" w:cs="Arial"/>
          <w:sz w:val="24"/>
          <w:szCs w:val="24"/>
        </w:rPr>
      </w:pPr>
    </w:p>
    <w:p w14:paraId="468C4E9F"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sz w:val="24"/>
          <w:szCs w:val="24"/>
        </w:rPr>
        <w:t>Para la población a cargo del departamento, se define las siguientes IPS:</w:t>
      </w:r>
    </w:p>
    <w:p w14:paraId="0FB0F119" w14:textId="77777777" w:rsidR="00A0533A" w:rsidRPr="003F013D" w:rsidRDefault="00A0533A" w:rsidP="00A0533A">
      <w:pPr>
        <w:spacing w:line="237" w:lineRule="auto"/>
        <w:ind w:right="48"/>
        <w:jc w:val="both"/>
        <w:rPr>
          <w:rFonts w:ascii="Arial" w:hAnsi="Arial" w:cs="Arial"/>
          <w:sz w:val="24"/>
          <w:szCs w:val="24"/>
        </w:rPr>
      </w:pPr>
    </w:p>
    <w:p w14:paraId="121DFC90"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b/>
          <w:sz w:val="24"/>
          <w:szCs w:val="24"/>
        </w:rPr>
        <w:t>Aeropuerto de Rionegro</w:t>
      </w:r>
      <w:r w:rsidRPr="003F013D">
        <w:rPr>
          <w:rFonts w:ascii="Arial" w:hAnsi="Arial" w:cs="Arial"/>
          <w:sz w:val="24"/>
          <w:szCs w:val="24"/>
        </w:rPr>
        <w:t>: Centros Especializados San Vicente de Paul de Rionegro pacientes con IRAG y ESE Hospital San Juan de Dios para casos leves y moderados</w:t>
      </w:r>
    </w:p>
    <w:p w14:paraId="236EE7CC" w14:textId="77777777" w:rsidR="00A0533A" w:rsidRPr="003F013D" w:rsidRDefault="00A0533A" w:rsidP="00A0533A">
      <w:pPr>
        <w:spacing w:line="237" w:lineRule="auto"/>
        <w:ind w:right="48"/>
        <w:jc w:val="both"/>
        <w:rPr>
          <w:rFonts w:ascii="Arial" w:hAnsi="Arial" w:cs="Arial"/>
          <w:sz w:val="24"/>
          <w:szCs w:val="24"/>
        </w:rPr>
      </w:pPr>
    </w:p>
    <w:p w14:paraId="70BF3B86"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b/>
          <w:sz w:val="24"/>
          <w:szCs w:val="24"/>
        </w:rPr>
        <w:t>Aeropuerto de Carepa</w:t>
      </w:r>
      <w:r w:rsidRPr="003F013D">
        <w:rPr>
          <w:rFonts w:ascii="Arial" w:hAnsi="Arial" w:cs="Arial"/>
          <w:sz w:val="24"/>
          <w:szCs w:val="24"/>
        </w:rPr>
        <w:t>: E.S.E Hospital Francisco Luis Jiménez Martínez</w:t>
      </w:r>
    </w:p>
    <w:p w14:paraId="735B6948" w14:textId="77777777" w:rsidR="00A0533A" w:rsidRPr="003F013D" w:rsidRDefault="00A0533A" w:rsidP="00A0533A">
      <w:pPr>
        <w:spacing w:line="237" w:lineRule="auto"/>
        <w:ind w:right="48"/>
        <w:jc w:val="both"/>
        <w:rPr>
          <w:rFonts w:ascii="Arial" w:hAnsi="Arial" w:cs="Arial"/>
          <w:sz w:val="24"/>
          <w:szCs w:val="24"/>
        </w:rPr>
      </w:pPr>
    </w:p>
    <w:p w14:paraId="14E2D4B0"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b/>
          <w:sz w:val="24"/>
          <w:szCs w:val="24"/>
        </w:rPr>
        <w:t>Puerto de Turbo</w:t>
      </w:r>
      <w:r w:rsidRPr="003F013D">
        <w:rPr>
          <w:rFonts w:ascii="Arial" w:hAnsi="Arial" w:cs="Arial"/>
          <w:sz w:val="24"/>
          <w:szCs w:val="24"/>
        </w:rPr>
        <w:t>: E.S.E Hospital Francisco Valderrama</w:t>
      </w:r>
    </w:p>
    <w:p w14:paraId="5D061C35" w14:textId="77777777" w:rsidR="00A0533A" w:rsidRPr="003F013D" w:rsidRDefault="00A0533A" w:rsidP="00A0533A">
      <w:pPr>
        <w:spacing w:line="237" w:lineRule="auto"/>
        <w:ind w:right="48"/>
        <w:jc w:val="both"/>
        <w:rPr>
          <w:rFonts w:ascii="Arial" w:hAnsi="Arial" w:cs="Arial"/>
          <w:sz w:val="24"/>
          <w:szCs w:val="24"/>
        </w:rPr>
      </w:pPr>
    </w:p>
    <w:p w14:paraId="4E7506E7" w14:textId="77777777" w:rsidR="00A0533A" w:rsidRPr="003F013D" w:rsidRDefault="00A0533A" w:rsidP="00A0533A">
      <w:pPr>
        <w:spacing w:line="237" w:lineRule="auto"/>
        <w:ind w:right="48"/>
        <w:jc w:val="both"/>
        <w:rPr>
          <w:rFonts w:ascii="Arial" w:hAnsi="Arial" w:cs="Arial"/>
          <w:sz w:val="24"/>
          <w:szCs w:val="24"/>
        </w:rPr>
      </w:pPr>
      <w:r w:rsidRPr="003F013D">
        <w:rPr>
          <w:rFonts w:ascii="Arial" w:hAnsi="Arial" w:cs="Arial"/>
          <w:b/>
          <w:sz w:val="24"/>
          <w:szCs w:val="24"/>
        </w:rPr>
        <w:t>Aeropuerto Enrique Olaya Herrera</w:t>
      </w:r>
      <w:r w:rsidRPr="003F013D">
        <w:rPr>
          <w:rFonts w:ascii="Arial" w:hAnsi="Arial" w:cs="Arial"/>
          <w:sz w:val="24"/>
          <w:szCs w:val="24"/>
        </w:rPr>
        <w:t xml:space="preserve">: E.S.E Hospital La María, E.S.E Hospital General y E.S.E </w:t>
      </w:r>
      <w:proofErr w:type="spellStart"/>
      <w:r w:rsidRPr="003F013D">
        <w:rPr>
          <w:rFonts w:ascii="Arial" w:hAnsi="Arial" w:cs="Arial"/>
          <w:sz w:val="24"/>
          <w:szCs w:val="24"/>
        </w:rPr>
        <w:t>Metrosalud</w:t>
      </w:r>
      <w:proofErr w:type="spellEnd"/>
      <w:r w:rsidRPr="003F013D">
        <w:rPr>
          <w:rFonts w:ascii="Arial" w:hAnsi="Arial" w:cs="Arial"/>
          <w:sz w:val="24"/>
          <w:szCs w:val="24"/>
        </w:rPr>
        <w:t>.</w:t>
      </w:r>
    </w:p>
    <w:p w14:paraId="7A96AA19" w14:textId="77777777" w:rsidR="00A0533A" w:rsidRPr="003F013D" w:rsidRDefault="00A0533A" w:rsidP="00A0533A">
      <w:pPr>
        <w:spacing w:line="237" w:lineRule="auto"/>
        <w:ind w:right="48"/>
        <w:jc w:val="both"/>
        <w:rPr>
          <w:rFonts w:ascii="Arial" w:hAnsi="Arial" w:cs="Arial"/>
          <w:sz w:val="24"/>
          <w:szCs w:val="24"/>
        </w:rPr>
      </w:pPr>
    </w:p>
    <w:p w14:paraId="78CE0A79" w14:textId="77777777" w:rsidR="00A0533A" w:rsidRDefault="00A0533A" w:rsidP="00A0533A">
      <w:pPr>
        <w:jc w:val="center"/>
        <w:rPr>
          <w:rFonts w:ascii="Arial" w:hAnsi="Arial" w:cs="Arial"/>
          <w:sz w:val="24"/>
          <w:szCs w:val="24"/>
        </w:rPr>
      </w:pPr>
    </w:p>
    <w:p w14:paraId="020EE537" w14:textId="77777777" w:rsidR="00A0533A" w:rsidRDefault="00A0533A" w:rsidP="00A0533A">
      <w:pPr>
        <w:jc w:val="center"/>
        <w:rPr>
          <w:rFonts w:ascii="Arial" w:hAnsi="Arial" w:cs="Arial"/>
          <w:sz w:val="24"/>
          <w:szCs w:val="24"/>
        </w:rPr>
      </w:pPr>
    </w:p>
    <w:p w14:paraId="034BAAD0" w14:textId="77777777" w:rsidR="00A0533A" w:rsidRDefault="00A0533A" w:rsidP="00A0533A">
      <w:pPr>
        <w:jc w:val="center"/>
        <w:rPr>
          <w:rFonts w:ascii="Arial" w:hAnsi="Arial" w:cs="Arial"/>
          <w:sz w:val="24"/>
          <w:szCs w:val="24"/>
        </w:rPr>
      </w:pPr>
    </w:p>
    <w:p w14:paraId="483BF4B3" w14:textId="77777777" w:rsidR="00A0533A" w:rsidRDefault="00A0533A" w:rsidP="00A0533A">
      <w:pPr>
        <w:jc w:val="center"/>
        <w:rPr>
          <w:rFonts w:ascii="Arial" w:hAnsi="Arial" w:cs="Arial"/>
          <w:sz w:val="24"/>
          <w:szCs w:val="24"/>
        </w:rPr>
      </w:pPr>
    </w:p>
    <w:p w14:paraId="642A553A" w14:textId="77777777" w:rsidR="00A0533A" w:rsidRDefault="00A0533A" w:rsidP="00A0533A">
      <w:pPr>
        <w:jc w:val="center"/>
        <w:rPr>
          <w:rFonts w:ascii="Arial" w:hAnsi="Arial" w:cs="Arial"/>
          <w:sz w:val="24"/>
          <w:szCs w:val="24"/>
        </w:rPr>
      </w:pPr>
    </w:p>
    <w:p w14:paraId="77EC5F40" w14:textId="77777777" w:rsidR="00A0533A" w:rsidRDefault="00A0533A" w:rsidP="00A0533A">
      <w:pPr>
        <w:jc w:val="center"/>
        <w:rPr>
          <w:rFonts w:ascii="Arial" w:hAnsi="Arial" w:cs="Arial"/>
          <w:sz w:val="24"/>
          <w:szCs w:val="24"/>
        </w:rPr>
      </w:pPr>
    </w:p>
    <w:p w14:paraId="569C5B4D" w14:textId="77777777" w:rsidR="00A0533A" w:rsidRDefault="00A0533A" w:rsidP="00A0533A">
      <w:pPr>
        <w:jc w:val="center"/>
        <w:rPr>
          <w:rFonts w:ascii="Arial" w:hAnsi="Arial" w:cs="Arial"/>
          <w:sz w:val="24"/>
          <w:szCs w:val="24"/>
        </w:rPr>
      </w:pPr>
    </w:p>
    <w:p w14:paraId="671C8230" w14:textId="77777777" w:rsidR="00A0533A" w:rsidRDefault="00A0533A" w:rsidP="00A0533A">
      <w:pPr>
        <w:jc w:val="center"/>
        <w:rPr>
          <w:rFonts w:ascii="Arial" w:hAnsi="Arial" w:cs="Arial"/>
          <w:sz w:val="24"/>
          <w:szCs w:val="24"/>
        </w:rPr>
      </w:pPr>
    </w:p>
    <w:p w14:paraId="6EF53191" w14:textId="77777777" w:rsidR="00A0533A" w:rsidRDefault="00A0533A" w:rsidP="00A0533A">
      <w:pPr>
        <w:jc w:val="center"/>
        <w:rPr>
          <w:rFonts w:ascii="Arial" w:hAnsi="Arial" w:cs="Arial"/>
          <w:sz w:val="24"/>
          <w:szCs w:val="24"/>
        </w:rPr>
      </w:pPr>
    </w:p>
    <w:p w14:paraId="51663111" w14:textId="77777777" w:rsidR="00A0533A" w:rsidRDefault="00A0533A" w:rsidP="00A0533A">
      <w:pPr>
        <w:jc w:val="center"/>
        <w:rPr>
          <w:rFonts w:ascii="Arial" w:hAnsi="Arial" w:cs="Arial"/>
          <w:sz w:val="24"/>
          <w:szCs w:val="24"/>
        </w:rPr>
      </w:pPr>
    </w:p>
    <w:p w14:paraId="25CAF441" w14:textId="77777777" w:rsidR="00A0533A" w:rsidRDefault="00A0533A" w:rsidP="00A0533A">
      <w:pPr>
        <w:jc w:val="center"/>
        <w:rPr>
          <w:rFonts w:ascii="Arial" w:hAnsi="Arial" w:cs="Arial"/>
          <w:sz w:val="24"/>
          <w:szCs w:val="24"/>
        </w:rPr>
      </w:pPr>
    </w:p>
    <w:p w14:paraId="03D8C4AA" w14:textId="58754452" w:rsidR="00A0533A" w:rsidRPr="003F013D" w:rsidRDefault="00A0533A" w:rsidP="00A0533A">
      <w:pPr>
        <w:jc w:val="center"/>
        <w:rPr>
          <w:rFonts w:ascii="Arial" w:hAnsi="Arial" w:cs="Arial"/>
          <w:sz w:val="24"/>
          <w:szCs w:val="24"/>
          <w:lang w:val="es-ES" w:bidi="es-ES"/>
        </w:rPr>
      </w:pPr>
      <w:r>
        <w:rPr>
          <w:rFonts w:ascii="Arial" w:hAnsi="Arial" w:cs="Arial"/>
          <w:b/>
          <w:w w:val="105"/>
          <w:sz w:val="24"/>
          <w:szCs w:val="24"/>
          <w:lang w:val="es-ES" w:bidi="es-ES"/>
        </w:rPr>
        <w:t>R</w:t>
      </w:r>
      <w:r w:rsidRPr="00D44D1C">
        <w:rPr>
          <w:rFonts w:ascii="Arial" w:hAnsi="Arial" w:cs="Arial"/>
          <w:b/>
          <w:w w:val="105"/>
          <w:sz w:val="24"/>
          <w:szCs w:val="24"/>
          <w:lang w:val="es-ES" w:bidi="es-ES"/>
        </w:rPr>
        <w:t>uta para atención de personas sintomáticas que acuden a las IPS incluida la remitida desde los puertos de entrada</w:t>
      </w:r>
      <w:r w:rsidRPr="003F013D">
        <w:rPr>
          <w:rFonts w:ascii="Arial" w:hAnsi="Arial" w:cs="Arial"/>
          <w:w w:val="105"/>
          <w:sz w:val="24"/>
          <w:szCs w:val="24"/>
          <w:lang w:val="es-ES" w:bidi="es-ES"/>
        </w:rPr>
        <w:t>.</w:t>
      </w:r>
    </w:p>
    <w:p w14:paraId="2DFD6F65" w14:textId="6F4F177F" w:rsidR="00A0533A" w:rsidRPr="003F013D" w:rsidRDefault="00A0533A" w:rsidP="00A0533A">
      <w:pPr>
        <w:jc w:val="center"/>
        <w:rPr>
          <w:rFonts w:ascii="Arial" w:hAnsi="Arial" w:cs="Arial"/>
          <w:sz w:val="24"/>
          <w:szCs w:val="24"/>
        </w:rPr>
      </w:pPr>
      <w:r w:rsidRPr="003F013D">
        <w:rPr>
          <w:rFonts w:ascii="Arial" w:hAnsi="Arial" w:cs="Arial"/>
          <w:noProof/>
          <w:sz w:val="24"/>
          <w:szCs w:val="24"/>
        </w:rPr>
        <w:drawing>
          <wp:inline distT="0" distB="0" distL="0" distR="0" wp14:anchorId="1BDDFF8D" wp14:editId="07916151">
            <wp:extent cx="5612130" cy="5738495"/>
            <wp:effectExtent l="0" t="0" r="7620" b="0"/>
            <wp:docPr id="1" name="Imagen 1" descr="C:\Users\lbustamantes\AppData\Local\Microsoft\Windows\INetCache\Content.Word\GIPS05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lbustamantes\AppData\Local\Microsoft\Windows\INetCache\Content.Word\GIPS05_page-0008.jpg"/>
                    <pic:cNvPicPr>
                      <a:picLocks noChangeAspect="1" noChangeArrowheads="1"/>
                    </pic:cNvPicPr>
                  </pic:nvPicPr>
                  <pic:blipFill>
                    <a:blip r:embed="rId6">
                      <a:extLst>
                        <a:ext uri="{28A0092B-C50C-407E-A947-70E740481C1C}">
                          <a14:useLocalDpi xmlns:a14="http://schemas.microsoft.com/office/drawing/2010/main" val="0"/>
                        </a:ext>
                      </a:extLst>
                    </a:blip>
                    <a:srcRect l="18060" t="40726" r="17783" b="14374"/>
                    <a:stretch>
                      <a:fillRect/>
                    </a:stretch>
                  </pic:blipFill>
                  <pic:spPr bwMode="auto">
                    <a:xfrm>
                      <a:off x="0" y="0"/>
                      <a:ext cx="5612130" cy="5738495"/>
                    </a:xfrm>
                    <a:prstGeom prst="rect">
                      <a:avLst/>
                    </a:prstGeom>
                    <a:noFill/>
                    <a:ln>
                      <a:noFill/>
                    </a:ln>
                  </pic:spPr>
                </pic:pic>
              </a:graphicData>
            </a:graphic>
          </wp:inline>
        </w:drawing>
      </w:r>
    </w:p>
    <w:p w14:paraId="6EA75406" w14:textId="77777777" w:rsidR="00A0533A" w:rsidRPr="003F013D" w:rsidRDefault="00A0533A" w:rsidP="00A0533A">
      <w:pPr>
        <w:jc w:val="center"/>
        <w:rPr>
          <w:rFonts w:ascii="Arial" w:hAnsi="Arial" w:cs="Arial"/>
          <w:sz w:val="24"/>
          <w:szCs w:val="24"/>
        </w:rPr>
      </w:pPr>
    </w:p>
    <w:p w14:paraId="244F5E52" w14:textId="77777777" w:rsidR="00A0533A" w:rsidRPr="003F013D" w:rsidRDefault="00A0533A" w:rsidP="00A0533A">
      <w:pPr>
        <w:rPr>
          <w:rFonts w:ascii="Arial" w:hAnsi="Arial" w:cs="Arial"/>
          <w:sz w:val="24"/>
          <w:szCs w:val="24"/>
        </w:rPr>
      </w:pPr>
    </w:p>
    <w:p w14:paraId="13E2383F" w14:textId="77777777" w:rsidR="00A0533A" w:rsidRPr="003F013D" w:rsidRDefault="00A0533A" w:rsidP="00A0533A">
      <w:pPr>
        <w:rPr>
          <w:rFonts w:ascii="Arial" w:hAnsi="Arial" w:cs="Arial"/>
          <w:sz w:val="24"/>
          <w:szCs w:val="24"/>
        </w:rPr>
      </w:pPr>
    </w:p>
    <w:p w14:paraId="68949529" w14:textId="77777777" w:rsidR="00A0533A" w:rsidRPr="003F013D" w:rsidRDefault="00A0533A" w:rsidP="00A0533A">
      <w:pPr>
        <w:pStyle w:val="Textoindependiente"/>
        <w:spacing w:before="206"/>
        <w:ind w:left="101" w:right="48"/>
        <w:rPr>
          <w:sz w:val="24"/>
          <w:szCs w:val="24"/>
        </w:rPr>
      </w:pPr>
      <w:r w:rsidRPr="003F013D">
        <w:rPr>
          <w:w w:val="105"/>
          <w:sz w:val="24"/>
          <w:szCs w:val="24"/>
        </w:rPr>
        <w:t>Tener en cuenta:</w:t>
      </w:r>
    </w:p>
    <w:p w14:paraId="272B42A7" w14:textId="77777777" w:rsidR="00A0533A" w:rsidRPr="003F013D" w:rsidRDefault="00A0533A" w:rsidP="00A0533A">
      <w:pPr>
        <w:pStyle w:val="Prrafodelista"/>
        <w:numPr>
          <w:ilvl w:val="0"/>
          <w:numId w:val="2"/>
        </w:numPr>
        <w:spacing w:before="185" w:line="252" w:lineRule="auto"/>
        <w:ind w:left="821" w:right="48"/>
        <w:jc w:val="both"/>
        <w:rPr>
          <w:sz w:val="24"/>
          <w:szCs w:val="24"/>
        </w:rPr>
      </w:pPr>
      <w:r w:rsidRPr="003F013D">
        <w:rPr>
          <w:w w:val="105"/>
          <w:sz w:val="24"/>
          <w:szCs w:val="24"/>
        </w:rPr>
        <w:t xml:space="preserve">Para la población pobre no asegurada - PPNA, si la IPS que capta el caso no tiene capacidad diagnostica, capacidad de aislamiento y </w:t>
      </w:r>
      <w:r w:rsidRPr="003F013D">
        <w:rPr>
          <w:w w:val="105"/>
          <w:sz w:val="24"/>
          <w:szCs w:val="24"/>
        </w:rPr>
        <w:lastRenderedPageBreak/>
        <w:t xml:space="preserve">capacidad de hospitalización, se debe remitir según criterio de georreferenciación; en caso de requerirse una alta complejidad serán remitidos a la E.S.E Hospital La María y E.S.E Hospital de Medellín, cumpliendo la normatividad de referencia y </w:t>
      </w:r>
      <w:proofErr w:type="spellStart"/>
      <w:r w:rsidRPr="003F013D">
        <w:rPr>
          <w:w w:val="105"/>
          <w:sz w:val="24"/>
          <w:szCs w:val="24"/>
        </w:rPr>
        <w:t>contrareferencia</w:t>
      </w:r>
      <w:proofErr w:type="spellEnd"/>
      <w:r w:rsidRPr="003F013D">
        <w:rPr>
          <w:w w:val="105"/>
          <w:sz w:val="24"/>
          <w:szCs w:val="24"/>
        </w:rPr>
        <w:t xml:space="preserve"> de pacientes.</w:t>
      </w:r>
    </w:p>
    <w:p w14:paraId="41A8C4B4" w14:textId="77777777" w:rsidR="00A0533A" w:rsidRPr="003F013D" w:rsidRDefault="00A0533A" w:rsidP="00A0533A">
      <w:pPr>
        <w:pStyle w:val="Prrafodelista"/>
        <w:numPr>
          <w:ilvl w:val="0"/>
          <w:numId w:val="2"/>
        </w:numPr>
        <w:spacing w:before="185" w:line="252" w:lineRule="auto"/>
        <w:ind w:left="821" w:right="48"/>
        <w:jc w:val="both"/>
        <w:rPr>
          <w:sz w:val="24"/>
          <w:szCs w:val="24"/>
        </w:rPr>
      </w:pPr>
      <w:r w:rsidRPr="003F013D">
        <w:rPr>
          <w:w w:val="105"/>
          <w:sz w:val="24"/>
          <w:szCs w:val="24"/>
        </w:rPr>
        <w:t xml:space="preserve">Para la población asegurada cuando la IPS que capta el caso no tiene capacidad diagnostica, capacidad de aislamiento y capacidad de hospitalización se manejaran </w:t>
      </w:r>
      <w:proofErr w:type="gramStart"/>
      <w:r w:rsidRPr="003F013D">
        <w:rPr>
          <w:w w:val="105"/>
          <w:sz w:val="24"/>
          <w:szCs w:val="24"/>
        </w:rPr>
        <w:t>de acuerdo a</w:t>
      </w:r>
      <w:proofErr w:type="gramEnd"/>
      <w:r w:rsidRPr="003F013D">
        <w:rPr>
          <w:w w:val="105"/>
          <w:sz w:val="24"/>
          <w:szCs w:val="24"/>
        </w:rPr>
        <w:t xml:space="preserve"> la red del asegurador.</w:t>
      </w:r>
    </w:p>
    <w:p w14:paraId="028F0489" w14:textId="77777777" w:rsidR="00A0533A" w:rsidRPr="003F013D" w:rsidRDefault="00A0533A" w:rsidP="00A0533A">
      <w:pPr>
        <w:pStyle w:val="Prrafodelista"/>
        <w:spacing w:before="185" w:line="252" w:lineRule="auto"/>
        <w:ind w:left="461" w:right="48" w:firstLine="0"/>
        <w:jc w:val="both"/>
        <w:rPr>
          <w:sz w:val="24"/>
          <w:szCs w:val="24"/>
        </w:rPr>
      </w:pPr>
    </w:p>
    <w:p w14:paraId="43ADB8C3" w14:textId="77777777" w:rsidR="00A0533A" w:rsidRPr="003F013D" w:rsidRDefault="00A0533A" w:rsidP="00A0533A">
      <w:pPr>
        <w:pStyle w:val="Prrafodelista"/>
        <w:numPr>
          <w:ilvl w:val="0"/>
          <w:numId w:val="2"/>
        </w:numPr>
        <w:spacing w:line="252" w:lineRule="auto"/>
        <w:ind w:left="821" w:right="48" w:hanging="395"/>
        <w:jc w:val="both"/>
        <w:rPr>
          <w:sz w:val="24"/>
          <w:szCs w:val="24"/>
        </w:rPr>
      </w:pPr>
      <w:r w:rsidRPr="003F013D">
        <w:rPr>
          <w:sz w:val="24"/>
          <w:szCs w:val="24"/>
        </w:rPr>
        <w:t xml:space="preserve">Se deben fortalecer las medidas de precauciones estándar en el manejo de todos los pacientes, establecidas en el Manual de Medidas Básicas para Control de Infecciones en el prestador de servicios de salud </w:t>
      </w:r>
      <w:hyperlink r:id="rId7" w:history="1">
        <w:r w:rsidRPr="003F013D">
          <w:rPr>
            <w:rStyle w:val="Hipervnculo"/>
            <w:sz w:val="24"/>
            <w:szCs w:val="24"/>
          </w:rPr>
          <w:t>https://www.minsalud.gov.co/sites/rid/Lists/BibliotecaDigital/RIDE/VS/PP/PAI/manual-prevencion-iaas.pdf</w:t>
        </w:r>
      </w:hyperlink>
      <w:r w:rsidRPr="003F013D">
        <w:rPr>
          <w:sz w:val="24"/>
          <w:szCs w:val="24"/>
        </w:rPr>
        <w:t xml:space="preserve"> </w:t>
      </w:r>
    </w:p>
    <w:p w14:paraId="7A95E522" w14:textId="77777777" w:rsidR="00A0533A" w:rsidRPr="003F013D" w:rsidRDefault="00A0533A" w:rsidP="00A0533A">
      <w:pPr>
        <w:pStyle w:val="Prrafodelista"/>
        <w:rPr>
          <w:sz w:val="24"/>
          <w:szCs w:val="24"/>
        </w:rPr>
      </w:pPr>
    </w:p>
    <w:p w14:paraId="63844774" w14:textId="77777777" w:rsidR="00A0533A" w:rsidRPr="003F013D" w:rsidRDefault="00A0533A" w:rsidP="00A0533A">
      <w:pPr>
        <w:pStyle w:val="Prrafodelista"/>
        <w:numPr>
          <w:ilvl w:val="0"/>
          <w:numId w:val="2"/>
        </w:numPr>
        <w:spacing w:line="252" w:lineRule="auto"/>
        <w:ind w:left="821" w:right="48"/>
        <w:jc w:val="both"/>
        <w:rPr>
          <w:w w:val="105"/>
          <w:sz w:val="24"/>
          <w:szCs w:val="24"/>
        </w:rPr>
      </w:pPr>
      <w:r w:rsidRPr="003F013D">
        <w:rPr>
          <w:w w:val="105"/>
          <w:sz w:val="24"/>
          <w:szCs w:val="24"/>
        </w:rPr>
        <w:t>Se debe minimizar el traslado de estos pacientes entre áreas dentro de la misma IPS y entre otras IPS hacerlo solo si es necesario, cada prestador debe definir dentro</w:t>
      </w:r>
      <w:r w:rsidRPr="003F013D">
        <w:rPr>
          <w:spacing w:val="-5"/>
          <w:w w:val="105"/>
          <w:sz w:val="24"/>
          <w:szCs w:val="24"/>
        </w:rPr>
        <w:t xml:space="preserve"> </w:t>
      </w:r>
      <w:r w:rsidRPr="003F013D">
        <w:rPr>
          <w:w w:val="105"/>
          <w:sz w:val="24"/>
          <w:szCs w:val="24"/>
        </w:rPr>
        <w:t>de</w:t>
      </w:r>
      <w:r w:rsidRPr="003F013D">
        <w:rPr>
          <w:spacing w:val="-4"/>
          <w:w w:val="105"/>
          <w:sz w:val="24"/>
          <w:szCs w:val="24"/>
        </w:rPr>
        <w:t xml:space="preserve"> </w:t>
      </w:r>
      <w:r w:rsidRPr="003F013D">
        <w:rPr>
          <w:w w:val="105"/>
          <w:sz w:val="24"/>
          <w:szCs w:val="24"/>
        </w:rPr>
        <w:t>su</w:t>
      </w:r>
      <w:r w:rsidRPr="003F013D">
        <w:rPr>
          <w:spacing w:val="-4"/>
          <w:w w:val="105"/>
          <w:sz w:val="24"/>
          <w:szCs w:val="24"/>
        </w:rPr>
        <w:t xml:space="preserve"> </w:t>
      </w:r>
      <w:r w:rsidRPr="003F013D">
        <w:rPr>
          <w:w w:val="105"/>
          <w:sz w:val="24"/>
          <w:szCs w:val="24"/>
        </w:rPr>
        <w:t>plan</w:t>
      </w:r>
      <w:r w:rsidRPr="003F013D">
        <w:rPr>
          <w:spacing w:val="-5"/>
          <w:w w:val="105"/>
          <w:sz w:val="24"/>
          <w:szCs w:val="24"/>
        </w:rPr>
        <w:t xml:space="preserve"> </w:t>
      </w:r>
      <w:r w:rsidRPr="003F013D">
        <w:rPr>
          <w:w w:val="105"/>
          <w:sz w:val="24"/>
          <w:szCs w:val="24"/>
        </w:rPr>
        <w:t>de</w:t>
      </w:r>
      <w:r w:rsidRPr="003F013D">
        <w:rPr>
          <w:spacing w:val="-4"/>
          <w:w w:val="105"/>
          <w:sz w:val="24"/>
          <w:szCs w:val="24"/>
        </w:rPr>
        <w:t xml:space="preserve"> </w:t>
      </w:r>
      <w:r w:rsidRPr="003F013D">
        <w:rPr>
          <w:w w:val="105"/>
          <w:sz w:val="24"/>
          <w:szCs w:val="24"/>
        </w:rPr>
        <w:t>contingencia</w:t>
      </w:r>
      <w:r w:rsidRPr="003F013D">
        <w:rPr>
          <w:spacing w:val="-4"/>
          <w:w w:val="105"/>
          <w:sz w:val="24"/>
          <w:szCs w:val="24"/>
        </w:rPr>
        <w:t xml:space="preserve"> </w:t>
      </w:r>
      <w:r w:rsidRPr="003F013D">
        <w:rPr>
          <w:w w:val="105"/>
          <w:sz w:val="24"/>
          <w:szCs w:val="24"/>
        </w:rPr>
        <w:t>la</w:t>
      </w:r>
      <w:r w:rsidRPr="003F013D">
        <w:rPr>
          <w:spacing w:val="-5"/>
          <w:w w:val="105"/>
          <w:sz w:val="24"/>
          <w:szCs w:val="24"/>
        </w:rPr>
        <w:t xml:space="preserve"> </w:t>
      </w:r>
      <w:r w:rsidRPr="003F013D">
        <w:rPr>
          <w:w w:val="105"/>
          <w:sz w:val="24"/>
          <w:szCs w:val="24"/>
        </w:rPr>
        <w:t>ruta</w:t>
      </w:r>
      <w:r w:rsidRPr="003F013D">
        <w:rPr>
          <w:spacing w:val="-4"/>
          <w:w w:val="105"/>
          <w:sz w:val="24"/>
          <w:szCs w:val="24"/>
        </w:rPr>
        <w:t xml:space="preserve"> </w:t>
      </w:r>
      <w:r w:rsidRPr="003F013D">
        <w:rPr>
          <w:w w:val="105"/>
          <w:sz w:val="24"/>
          <w:szCs w:val="24"/>
        </w:rPr>
        <w:t>de</w:t>
      </w:r>
      <w:r w:rsidRPr="003F013D">
        <w:rPr>
          <w:spacing w:val="-4"/>
          <w:w w:val="105"/>
          <w:sz w:val="24"/>
          <w:szCs w:val="24"/>
        </w:rPr>
        <w:t xml:space="preserve"> </w:t>
      </w:r>
      <w:r w:rsidRPr="003F013D">
        <w:rPr>
          <w:w w:val="105"/>
          <w:sz w:val="24"/>
          <w:szCs w:val="24"/>
        </w:rPr>
        <w:t>desplazamiento</w:t>
      </w:r>
      <w:r w:rsidRPr="003F013D">
        <w:rPr>
          <w:spacing w:val="-4"/>
          <w:w w:val="105"/>
          <w:sz w:val="24"/>
          <w:szCs w:val="24"/>
        </w:rPr>
        <w:t xml:space="preserve"> </w:t>
      </w:r>
      <w:r w:rsidRPr="003F013D">
        <w:rPr>
          <w:w w:val="105"/>
          <w:sz w:val="24"/>
          <w:szCs w:val="24"/>
        </w:rPr>
        <w:t>más</w:t>
      </w:r>
      <w:r w:rsidRPr="003F013D">
        <w:rPr>
          <w:spacing w:val="-5"/>
          <w:w w:val="105"/>
          <w:sz w:val="24"/>
          <w:szCs w:val="24"/>
        </w:rPr>
        <w:t xml:space="preserve"> </w:t>
      </w:r>
      <w:r w:rsidRPr="003F013D">
        <w:rPr>
          <w:w w:val="105"/>
          <w:sz w:val="24"/>
          <w:szCs w:val="24"/>
        </w:rPr>
        <w:t>segura</w:t>
      </w:r>
      <w:r w:rsidRPr="003F013D">
        <w:rPr>
          <w:spacing w:val="-4"/>
          <w:w w:val="105"/>
          <w:sz w:val="24"/>
          <w:szCs w:val="24"/>
        </w:rPr>
        <w:t xml:space="preserve"> </w:t>
      </w:r>
      <w:r w:rsidRPr="003F013D">
        <w:rPr>
          <w:w w:val="105"/>
          <w:sz w:val="24"/>
          <w:szCs w:val="24"/>
        </w:rPr>
        <w:t>al</w:t>
      </w:r>
      <w:r w:rsidRPr="003F013D">
        <w:rPr>
          <w:spacing w:val="-5"/>
          <w:w w:val="105"/>
          <w:sz w:val="24"/>
          <w:szCs w:val="24"/>
        </w:rPr>
        <w:t xml:space="preserve"> </w:t>
      </w:r>
      <w:r w:rsidRPr="003F013D">
        <w:rPr>
          <w:w w:val="105"/>
          <w:sz w:val="24"/>
          <w:szCs w:val="24"/>
        </w:rPr>
        <w:t>área</w:t>
      </w:r>
      <w:r w:rsidRPr="003F013D">
        <w:rPr>
          <w:spacing w:val="-5"/>
          <w:w w:val="105"/>
          <w:sz w:val="24"/>
          <w:szCs w:val="24"/>
        </w:rPr>
        <w:t xml:space="preserve"> </w:t>
      </w:r>
      <w:r w:rsidRPr="003F013D">
        <w:rPr>
          <w:w w:val="105"/>
          <w:sz w:val="24"/>
          <w:szCs w:val="24"/>
        </w:rPr>
        <w:t>de aislamiento</w:t>
      </w:r>
    </w:p>
    <w:p w14:paraId="64B621F4" w14:textId="77777777" w:rsidR="00A0533A" w:rsidRPr="003F013D" w:rsidRDefault="00A0533A" w:rsidP="00A0533A">
      <w:pPr>
        <w:pStyle w:val="Prrafodelista"/>
        <w:rPr>
          <w:w w:val="105"/>
          <w:sz w:val="24"/>
          <w:szCs w:val="24"/>
        </w:rPr>
      </w:pPr>
    </w:p>
    <w:p w14:paraId="3A416E4C" w14:textId="77777777" w:rsidR="00A0533A" w:rsidRPr="003F013D" w:rsidRDefault="00A0533A" w:rsidP="00A0533A">
      <w:pPr>
        <w:pStyle w:val="Prrafodelista"/>
        <w:numPr>
          <w:ilvl w:val="0"/>
          <w:numId w:val="2"/>
        </w:numPr>
        <w:spacing w:line="252" w:lineRule="auto"/>
        <w:ind w:left="821" w:right="48"/>
        <w:jc w:val="both"/>
        <w:rPr>
          <w:w w:val="105"/>
          <w:sz w:val="24"/>
          <w:szCs w:val="24"/>
        </w:rPr>
      </w:pPr>
      <w:r w:rsidRPr="003F013D">
        <w:rPr>
          <w:w w:val="105"/>
          <w:sz w:val="24"/>
          <w:szCs w:val="24"/>
        </w:rPr>
        <w:t xml:space="preserve">Para todos los casos las IPS deben aplicar los </w:t>
      </w:r>
      <w:r w:rsidRPr="003F013D">
        <w:rPr>
          <w:sz w:val="24"/>
          <w:szCs w:val="24"/>
        </w:rPr>
        <w:t>Lineamientos para la detección y manejo de casos por los Prestadores de Servicios de Salud, frente a la eventual introducción del nuevo Coronavirus (2019-nCoV) a Colombia.</w:t>
      </w:r>
    </w:p>
    <w:p w14:paraId="7B313F95" w14:textId="77777777" w:rsidR="00A0533A" w:rsidRPr="003F013D" w:rsidRDefault="00A0533A" w:rsidP="00A0533A">
      <w:pPr>
        <w:pStyle w:val="Prrafodelista"/>
        <w:rPr>
          <w:w w:val="105"/>
          <w:sz w:val="24"/>
          <w:szCs w:val="24"/>
        </w:rPr>
      </w:pPr>
    </w:p>
    <w:p w14:paraId="2B613F80" w14:textId="77777777" w:rsidR="00A0533A" w:rsidRPr="003F013D" w:rsidRDefault="00A0533A" w:rsidP="00A0533A">
      <w:pPr>
        <w:pStyle w:val="Prrafodelista"/>
        <w:numPr>
          <w:ilvl w:val="0"/>
          <w:numId w:val="2"/>
        </w:numPr>
        <w:spacing w:line="252" w:lineRule="auto"/>
        <w:ind w:left="821" w:right="48"/>
        <w:jc w:val="both"/>
        <w:rPr>
          <w:w w:val="105"/>
          <w:sz w:val="24"/>
          <w:szCs w:val="24"/>
        </w:rPr>
      </w:pPr>
      <w:r w:rsidRPr="003F013D">
        <w:rPr>
          <w:sz w:val="24"/>
          <w:szCs w:val="24"/>
        </w:rPr>
        <w:t>Los Entidades Territoriales, los Prestadores de Servicios de Salud y las EAPB deben dar cumplimiento a la circular 005 de 2020. Ver anexo.</w:t>
      </w:r>
    </w:p>
    <w:p w14:paraId="145DE950" w14:textId="77777777" w:rsidR="007F4375" w:rsidRDefault="00A0533A"/>
    <w:sectPr w:rsidR="007F4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53D"/>
    <w:multiLevelType w:val="hybridMultilevel"/>
    <w:tmpl w:val="4BE85E86"/>
    <w:lvl w:ilvl="0" w:tplc="A74A4EAA">
      <w:start w:val="1"/>
      <w:numFmt w:val="lowerLetter"/>
      <w:lvlText w:val="%1)"/>
      <w:lvlJc w:val="left"/>
      <w:pPr>
        <w:ind w:left="361" w:hanging="360"/>
      </w:pPr>
      <w:rPr>
        <w:rFonts w:ascii="Arial" w:eastAsia="Arial" w:hAnsi="Arial" w:cs="Arial" w:hint="default"/>
        <w:w w:val="100"/>
        <w:sz w:val="24"/>
        <w:szCs w:val="24"/>
        <w:lang w:val="es-ES" w:eastAsia="es-ES" w:bidi="es-ES"/>
      </w:rPr>
    </w:lvl>
    <w:lvl w:ilvl="1" w:tplc="373C521E">
      <w:numFmt w:val="bullet"/>
      <w:lvlText w:val="•"/>
      <w:lvlJc w:val="left"/>
      <w:pPr>
        <w:ind w:left="1285" w:hanging="360"/>
      </w:pPr>
      <w:rPr>
        <w:rFonts w:hint="default"/>
        <w:lang w:val="es-ES" w:eastAsia="es-ES" w:bidi="es-ES"/>
      </w:rPr>
    </w:lvl>
    <w:lvl w:ilvl="2" w:tplc="A7AAD0B4">
      <w:numFmt w:val="bullet"/>
      <w:lvlText w:val="•"/>
      <w:lvlJc w:val="left"/>
      <w:pPr>
        <w:ind w:left="2211" w:hanging="360"/>
      </w:pPr>
      <w:rPr>
        <w:rFonts w:hint="default"/>
        <w:lang w:val="es-ES" w:eastAsia="es-ES" w:bidi="es-ES"/>
      </w:rPr>
    </w:lvl>
    <w:lvl w:ilvl="3" w:tplc="0504C7B6">
      <w:numFmt w:val="bullet"/>
      <w:lvlText w:val="•"/>
      <w:lvlJc w:val="left"/>
      <w:pPr>
        <w:ind w:left="3137" w:hanging="360"/>
      </w:pPr>
      <w:rPr>
        <w:rFonts w:hint="default"/>
        <w:lang w:val="es-ES" w:eastAsia="es-ES" w:bidi="es-ES"/>
      </w:rPr>
    </w:lvl>
    <w:lvl w:ilvl="4" w:tplc="41F0E06E">
      <w:numFmt w:val="bullet"/>
      <w:lvlText w:val="•"/>
      <w:lvlJc w:val="left"/>
      <w:pPr>
        <w:ind w:left="4063" w:hanging="360"/>
      </w:pPr>
      <w:rPr>
        <w:rFonts w:hint="default"/>
        <w:lang w:val="es-ES" w:eastAsia="es-ES" w:bidi="es-ES"/>
      </w:rPr>
    </w:lvl>
    <w:lvl w:ilvl="5" w:tplc="86AE4576">
      <w:numFmt w:val="bullet"/>
      <w:lvlText w:val="•"/>
      <w:lvlJc w:val="left"/>
      <w:pPr>
        <w:ind w:left="4989" w:hanging="360"/>
      </w:pPr>
      <w:rPr>
        <w:rFonts w:hint="default"/>
        <w:lang w:val="es-ES" w:eastAsia="es-ES" w:bidi="es-ES"/>
      </w:rPr>
    </w:lvl>
    <w:lvl w:ilvl="6" w:tplc="4664D404">
      <w:numFmt w:val="bullet"/>
      <w:lvlText w:val="•"/>
      <w:lvlJc w:val="left"/>
      <w:pPr>
        <w:ind w:left="5915" w:hanging="360"/>
      </w:pPr>
      <w:rPr>
        <w:rFonts w:hint="default"/>
        <w:lang w:val="es-ES" w:eastAsia="es-ES" w:bidi="es-ES"/>
      </w:rPr>
    </w:lvl>
    <w:lvl w:ilvl="7" w:tplc="548E3872">
      <w:numFmt w:val="bullet"/>
      <w:lvlText w:val="•"/>
      <w:lvlJc w:val="left"/>
      <w:pPr>
        <w:ind w:left="6841" w:hanging="360"/>
      </w:pPr>
      <w:rPr>
        <w:rFonts w:hint="default"/>
        <w:lang w:val="es-ES" w:eastAsia="es-ES" w:bidi="es-ES"/>
      </w:rPr>
    </w:lvl>
    <w:lvl w:ilvl="8" w:tplc="F9888D22">
      <w:numFmt w:val="bullet"/>
      <w:lvlText w:val="•"/>
      <w:lvlJc w:val="left"/>
      <w:pPr>
        <w:ind w:left="7767" w:hanging="360"/>
      </w:pPr>
      <w:rPr>
        <w:rFonts w:hint="default"/>
        <w:lang w:val="es-ES" w:eastAsia="es-ES" w:bidi="es-ES"/>
      </w:rPr>
    </w:lvl>
  </w:abstractNum>
  <w:abstractNum w:abstractNumId="1" w15:restartNumberingAfterBreak="0">
    <w:nsid w:val="69C15D11"/>
    <w:multiLevelType w:val="hybridMultilevel"/>
    <w:tmpl w:val="2A767A66"/>
    <w:lvl w:ilvl="0" w:tplc="3B34B8BC">
      <w:start w:val="1"/>
      <w:numFmt w:val="lowerLetter"/>
      <w:lvlText w:val="%1)"/>
      <w:lvlJc w:val="left"/>
      <w:pPr>
        <w:ind w:left="822" w:hanging="360"/>
      </w:pPr>
      <w:rPr>
        <w:rFonts w:ascii="Arial" w:eastAsia="Arial" w:hAnsi="Arial" w:cs="Arial" w:hint="default"/>
        <w:spacing w:val="0"/>
        <w:w w:val="102"/>
        <w:sz w:val="21"/>
        <w:szCs w:val="21"/>
        <w:lang w:val="es-ES" w:eastAsia="es-ES" w:bidi="es-ES"/>
      </w:rPr>
    </w:lvl>
    <w:lvl w:ilvl="1" w:tplc="8C2C15F0">
      <w:numFmt w:val="bullet"/>
      <w:lvlText w:val="•"/>
      <w:lvlJc w:val="left"/>
      <w:pPr>
        <w:ind w:left="1542" w:hanging="360"/>
      </w:pPr>
      <w:rPr>
        <w:rFonts w:ascii="Arial" w:eastAsia="Arial" w:hAnsi="Arial" w:cs="Arial" w:hint="default"/>
        <w:w w:val="102"/>
        <w:sz w:val="21"/>
        <w:szCs w:val="21"/>
        <w:lang w:val="es-ES" w:eastAsia="es-ES" w:bidi="es-ES"/>
      </w:rPr>
    </w:lvl>
    <w:lvl w:ilvl="2" w:tplc="0382D5C6">
      <w:numFmt w:val="bullet"/>
      <w:lvlText w:val="•"/>
      <w:lvlJc w:val="left"/>
      <w:pPr>
        <w:ind w:left="2488" w:hanging="360"/>
      </w:pPr>
      <w:rPr>
        <w:rFonts w:hint="default"/>
        <w:lang w:val="es-ES" w:eastAsia="es-ES" w:bidi="es-ES"/>
      </w:rPr>
    </w:lvl>
    <w:lvl w:ilvl="3" w:tplc="95E6299E">
      <w:numFmt w:val="bullet"/>
      <w:lvlText w:val="•"/>
      <w:lvlJc w:val="left"/>
      <w:pPr>
        <w:ind w:left="3437" w:hanging="360"/>
      </w:pPr>
      <w:rPr>
        <w:rFonts w:hint="default"/>
        <w:lang w:val="es-ES" w:eastAsia="es-ES" w:bidi="es-ES"/>
      </w:rPr>
    </w:lvl>
    <w:lvl w:ilvl="4" w:tplc="17125D1A">
      <w:numFmt w:val="bullet"/>
      <w:lvlText w:val="•"/>
      <w:lvlJc w:val="left"/>
      <w:pPr>
        <w:ind w:left="4386" w:hanging="360"/>
      </w:pPr>
      <w:rPr>
        <w:rFonts w:hint="default"/>
        <w:lang w:val="es-ES" w:eastAsia="es-ES" w:bidi="es-ES"/>
      </w:rPr>
    </w:lvl>
    <w:lvl w:ilvl="5" w:tplc="110EA9AA">
      <w:numFmt w:val="bullet"/>
      <w:lvlText w:val="•"/>
      <w:lvlJc w:val="left"/>
      <w:pPr>
        <w:ind w:left="5335" w:hanging="360"/>
      </w:pPr>
      <w:rPr>
        <w:rFonts w:hint="default"/>
        <w:lang w:val="es-ES" w:eastAsia="es-ES" w:bidi="es-ES"/>
      </w:rPr>
    </w:lvl>
    <w:lvl w:ilvl="6" w:tplc="726894FC">
      <w:numFmt w:val="bullet"/>
      <w:lvlText w:val="•"/>
      <w:lvlJc w:val="left"/>
      <w:pPr>
        <w:ind w:left="6284" w:hanging="360"/>
      </w:pPr>
      <w:rPr>
        <w:rFonts w:hint="default"/>
        <w:lang w:val="es-ES" w:eastAsia="es-ES" w:bidi="es-ES"/>
      </w:rPr>
    </w:lvl>
    <w:lvl w:ilvl="7" w:tplc="F9861DC0">
      <w:numFmt w:val="bullet"/>
      <w:lvlText w:val="•"/>
      <w:lvlJc w:val="left"/>
      <w:pPr>
        <w:ind w:left="7233" w:hanging="360"/>
      </w:pPr>
      <w:rPr>
        <w:rFonts w:hint="default"/>
        <w:lang w:val="es-ES" w:eastAsia="es-ES" w:bidi="es-ES"/>
      </w:rPr>
    </w:lvl>
    <w:lvl w:ilvl="8" w:tplc="B28E9F9C">
      <w:numFmt w:val="bullet"/>
      <w:lvlText w:val="•"/>
      <w:lvlJc w:val="left"/>
      <w:pPr>
        <w:ind w:left="8182"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3A"/>
    <w:rsid w:val="00A0533A"/>
    <w:rsid w:val="00AD6E5B"/>
    <w:rsid w:val="00E776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724"/>
  <w15:chartTrackingRefBased/>
  <w15:docId w15:val="{F7F2FC5F-DC4B-45CD-B114-91AA907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A"/>
    <w:pPr>
      <w:spacing w:after="0" w:line="240" w:lineRule="auto"/>
    </w:pPr>
    <w:rPr>
      <w:rFonts w:ascii="Cambria" w:eastAsia="MS Mincho" w:hAnsi="Cambria" w:cs="Times New Roman"/>
      <w:sz w:val="20"/>
      <w:szCs w:val="20"/>
      <w:lang w:eastAsia="es-CO"/>
    </w:rPr>
  </w:style>
  <w:style w:type="paragraph" w:styleId="Ttulo3">
    <w:name w:val="heading 3"/>
    <w:basedOn w:val="Normal"/>
    <w:next w:val="Normal"/>
    <w:link w:val="Ttulo3Car"/>
    <w:uiPriority w:val="9"/>
    <w:unhideWhenUsed/>
    <w:qFormat/>
    <w:rsid w:val="00A0533A"/>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0533A"/>
    <w:rPr>
      <w:rFonts w:ascii="Calibri Light" w:eastAsia="Times New Roman" w:hAnsi="Calibri Light" w:cs="Times New Roman"/>
      <w:b/>
      <w:bCs/>
      <w:sz w:val="26"/>
      <w:szCs w:val="26"/>
      <w:lang w:eastAsia="es-CO"/>
    </w:rPr>
  </w:style>
  <w:style w:type="paragraph" w:styleId="Prrafodelista">
    <w:name w:val="List Paragraph"/>
    <w:basedOn w:val="Normal"/>
    <w:link w:val="PrrafodelistaCar"/>
    <w:uiPriority w:val="34"/>
    <w:qFormat/>
    <w:rsid w:val="00A0533A"/>
    <w:pPr>
      <w:widowControl w:val="0"/>
      <w:autoSpaceDE w:val="0"/>
      <w:autoSpaceDN w:val="0"/>
      <w:ind w:left="821" w:hanging="360"/>
    </w:pPr>
    <w:rPr>
      <w:rFonts w:ascii="Arial" w:eastAsia="Arial" w:hAnsi="Arial" w:cs="Arial"/>
      <w:sz w:val="22"/>
      <w:szCs w:val="22"/>
      <w:lang w:val="es-ES" w:bidi="es-ES"/>
    </w:rPr>
  </w:style>
  <w:style w:type="character" w:customStyle="1" w:styleId="PrrafodelistaCar">
    <w:name w:val="Párrafo de lista Car"/>
    <w:link w:val="Prrafodelista"/>
    <w:uiPriority w:val="34"/>
    <w:locked/>
    <w:rsid w:val="00A0533A"/>
    <w:rPr>
      <w:rFonts w:ascii="Arial" w:eastAsia="Arial" w:hAnsi="Arial" w:cs="Arial"/>
      <w:lang w:val="es-ES" w:eastAsia="es-CO" w:bidi="es-ES"/>
    </w:rPr>
  </w:style>
  <w:style w:type="paragraph" w:styleId="Textoindependiente">
    <w:name w:val="Body Text"/>
    <w:basedOn w:val="Normal"/>
    <w:link w:val="TextoindependienteCar"/>
    <w:uiPriority w:val="1"/>
    <w:qFormat/>
    <w:rsid w:val="00A0533A"/>
    <w:pPr>
      <w:widowControl w:val="0"/>
      <w:autoSpaceDE w:val="0"/>
      <w:autoSpaceDN w:val="0"/>
    </w:pPr>
    <w:rPr>
      <w:rFonts w:ascii="Arial" w:eastAsia="Arial" w:hAnsi="Arial" w:cs="Arial"/>
      <w:sz w:val="21"/>
      <w:szCs w:val="21"/>
      <w:lang w:val="es-ES" w:bidi="es-ES"/>
    </w:rPr>
  </w:style>
  <w:style w:type="character" w:customStyle="1" w:styleId="TextoindependienteCar">
    <w:name w:val="Texto independiente Car"/>
    <w:basedOn w:val="Fuentedeprrafopredeter"/>
    <w:link w:val="Textoindependiente"/>
    <w:uiPriority w:val="1"/>
    <w:rsid w:val="00A0533A"/>
    <w:rPr>
      <w:rFonts w:ascii="Arial" w:eastAsia="Arial" w:hAnsi="Arial" w:cs="Arial"/>
      <w:sz w:val="21"/>
      <w:szCs w:val="21"/>
      <w:lang w:val="es-ES" w:eastAsia="es-CO" w:bidi="es-ES"/>
    </w:rPr>
  </w:style>
  <w:style w:type="paragraph" w:customStyle="1" w:styleId="Default">
    <w:name w:val="Default"/>
    <w:rsid w:val="00A0533A"/>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05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salud.gov.co/sites/rid/Lists/BibliotecaDigital/RIDE/VS/PP/PAI/manual-prevencion-ia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Rosmira Mosquera</dc:creator>
  <cp:keywords/>
  <dc:description/>
  <cp:lastModifiedBy>Rosmira Mosquera</cp:lastModifiedBy>
  <cp:revision>1</cp:revision>
  <dcterms:created xsi:type="dcterms:W3CDTF">2020-03-29T18:06:00Z</dcterms:created>
  <dcterms:modified xsi:type="dcterms:W3CDTF">2020-03-29T18:08:00Z</dcterms:modified>
</cp:coreProperties>
</file>